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9914" w14:textId="77777777" w:rsidR="009731E1" w:rsidRDefault="00656083" w:rsidP="009731E1">
      <w:pPr>
        <w:pStyle w:val="text"/>
        <w:spacing w:line="480" w:lineRule="auto"/>
        <w:ind w:firstLine="0"/>
        <w:jc w:val="center"/>
        <w:rPr>
          <w:rFonts w:asciiTheme="minorHAnsi" w:hAnsiTheme="minorHAnsi"/>
          <w:b/>
          <w:color w:val="000000" w:themeColor="text1"/>
        </w:rPr>
      </w:pPr>
      <w:r>
        <w:rPr>
          <w:noProof/>
        </w:rPr>
        <w:drawing>
          <wp:inline distT="0" distB="0" distL="0" distR="0" wp14:anchorId="576D9802" wp14:editId="1FDCEBE1">
            <wp:extent cx="4277242" cy="3642053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118" cy="3647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1565" w14:textId="7951D872" w:rsidR="00BA1210" w:rsidRDefault="00BA1210" w:rsidP="009731E1">
      <w:pPr>
        <w:pStyle w:val="text"/>
        <w:spacing w:line="480" w:lineRule="auto"/>
        <w:ind w:firstLine="0"/>
        <w:rPr>
          <w:rFonts w:asciiTheme="minorHAnsi" w:hAnsiTheme="minorHAnsi" w:cstheme="minorHAnsi"/>
        </w:rPr>
      </w:pPr>
      <w:r w:rsidRPr="00605C81">
        <w:rPr>
          <w:rFonts w:asciiTheme="minorHAnsi" w:hAnsiTheme="minorHAnsi"/>
          <w:b/>
          <w:color w:val="000000" w:themeColor="text1"/>
        </w:rPr>
        <w:t xml:space="preserve">Supplemental Figure </w:t>
      </w:r>
      <w:r>
        <w:rPr>
          <w:rFonts w:asciiTheme="minorHAnsi" w:hAnsiTheme="minorHAnsi"/>
          <w:b/>
          <w:color w:val="000000" w:themeColor="text1"/>
        </w:rPr>
        <w:t>1</w:t>
      </w:r>
      <w:r w:rsidRPr="00605C81">
        <w:rPr>
          <w:rFonts w:asciiTheme="minorHAnsi" w:hAnsiTheme="minorHAnsi"/>
          <w:b/>
          <w:color w:val="000000" w:themeColor="text1"/>
        </w:rPr>
        <w:t>.</w:t>
      </w:r>
      <w:r>
        <w:rPr>
          <w:rFonts w:asciiTheme="minorHAnsi" w:hAnsiTheme="minorHAnsi"/>
          <w:b/>
          <w:color w:val="000000" w:themeColor="text1"/>
        </w:rPr>
        <w:t xml:space="preserve"> Cellular viability in the presence of BAY. </w:t>
      </w:r>
      <w:r w:rsidRPr="00605C81">
        <w:rPr>
          <w:rFonts w:asciiTheme="minorHAnsi" w:hAnsiTheme="minorHAnsi" w:cstheme="minorHAnsi"/>
        </w:rPr>
        <w:t xml:space="preserve">Bone </w:t>
      </w:r>
      <w:proofErr w:type="gramStart"/>
      <w:r w:rsidRPr="00605C81">
        <w:rPr>
          <w:rFonts w:asciiTheme="minorHAnsi" w:hAnsiTheme="minorHAnsi" w:cstheme="minorHAnsi"/>
        </w:rPr>
        <w:t>marrow-derived</w:t>
      </w:r>
      <w:proofErr w:type="gramEnd"/>
      <w:r w:rsidRPr="00605C81">
        <w:rPr>
          <w:rFonts w:asciiTheme="minorHAnsi" w:hAnsiTheme="minorHAnsi" w:cstheme="minorHAnsi"/>
        </w:rPr>
        <w:t xml:space="preserve"> M</w:t>
      </w:r>
      <w:r w:rsidRPr="00605C81">
        <w:rPr>
          <w:rFonts w:ascii="Cambria Math" w:hAnsi="Cambria Math" w:cs="Cambria Math"/>
        </w:rPr>
        <w:t>𝚽</w:t>
      </w:r>
      <w:r w:rsidRPr="00605C81">
        <w:rPr>
          <w:rFonts w:asciiTheme="minorHAnsi" w:hAnsiTheme="minorHAnsi" w:cstheme="minorHAnsi"/>
        </w:rPr>
        <w:t xml:space="preserve"> were treated with </w:t>
      </w:r>
      <w:r w:rsidRPr="004505CE">
        <w:rPr>
          <w:rFonts w:asciiTheme="minorHAnsi" w:hAnsiTheme="minorHAnsi" w:cstheme="minorHAnsi"/>
        </w:rPr>
        <w:t>1.0 µM</w:t>
      </w:r>
      <w:r>
        <w:rPr>
          <w:rFonts w:asciiTheme="minorHAnsi" w:hAnsiTheme="minorHAnsi" w:cstheme="minorHAnsi"/>
        </w:rPr>
        <w:t xml:space="preserve"> BAY </w:t>
      </w:r>
      <w:r w:rsidRPr="00605C81">
        <w:rPr>
          <w:rFonts w:asciiTheme="minorHAnsi" w:hAnsiTheme="minorHAnsi" w:cstheme="minorHAnsi"/>
        </w:rPr>
        <w:t xml:space="preserve">for 30 min prior to infection with </w:t>
      </w:r>
      <w:r w:rsidRPr="00605C81">
        <w:rPr>
          <w:rFonts w:asciiTheme="minorHAnsi" w:hAnsiTheme="minorHAnsi" w:cstheme="minorHAnsi"/>
          <w:i/>
          <w:iCs/>
        </w:rPr>
        <w:t>O. tsutsugamushi</w:t>
      </w:r>
      <w:r w:rsidRPr="00605C81">
        <w:rPr>
          <w:rFonts w:asciiTheme="minorHAnsi" w:hAnsiTheme="minorHAnsi" w:cstheme="minorHAnsi"/>
        </w:rPr>
        <w:t xml:space="preserve"> (10 MOI). </w:t>
      </w:r>
      <w:r>
        <w:rPr>
          <w:rFonts w:asciiTheme="minorHAnsi" w:hAnsiTheme="minorHAnsi" w:cstheme="minorHAnsi"/>
        </w:rPr>
        <w:t xml:space="preserve">Viability was assessed at </w:t>
      </w:r>
      <w:r w:rsidRPr="00605C81">
        <w:rPr>
          <w:rFonts w:asciiTheme="minorHAnsi" w:hAnsiTheme="minorHAnsi" w:cstheme="minorHAnsi"/>
        </w:rPr>
        <w:t xml:space="preserve">6 </w:t>
      </w:r>
      <w:proofErr w:type="spellStart"/>
      <w:r>
        <w:rPr>
          <w:rFonts w:asciiTheme="minorHAnsi" w:hAnsiTheme="minorHAnsi" w:cstheme="minorHAnsi"/>
        </w:rPr>
        <w:t>hpi</w:t>
      </w:r>
      <w:proofErr w:type="spellEnd"/>
      <w:r>
        <w:rPr>
          <w:rFonts w:asciiTheme="minorHAnsi" w:hAnsiTheme="minorHAnsi" w:cstheme="minorHAnsi"/>
        </w:rPr>
        <w:t xml:space="preserve"> via live-dead staining</w:t>
      </w:r>
      <w:r w:rsidRPr="00605C81">
        <w:rPr>
          <w:rFonts w:asciiTheme="minorHAnsi" w:hAnsiTheme="minorHAnsi" w:cstheme="minorHAnsi"/>
        </w:rPr>
        <w:t>. One-way ANOVA with Dunnett’s multiple comparison test was performed across all treatment groups</w:t>
      </w:r>
      <w:r>
        <w:rPr>
          <w:rFonts w:asciiTheme="minorHAnsi" w:hAnsiTheme="minorHAnsi" w:cstheme="minorHAnsi"/>
        </w:rPr>
        <w:t xml:space="preserve">, using mock controls as the reference. </w:t>
      </w:r>
      <w:r w:rsidRPr="00605C81">
        <w:rPr>
          <w:rFonts w:asciiTheme="minorHAnsi" w:hAnsiTheme="minorHAnsi" w:cstheme="minorHAnsi"/>
        </w:rPr>
        <w:t xml:space="preserve">**, </w:t>
      </w:r>
      <w:r w:rsidRPr="00605C81">
        <w:rPr>
          <w:rFonts w:asciiTheme="minorHAnsi" w:hAnsiTheme="minorHAnsi" w:cstheme="minorHAnsi"/>
          <w:i/>
          <w:iCs/>
        </w:rPr>
        <w:t>p</w:t>
      </w:r>
      <w:r w:rsidRPr="00605C81">
        <w:rPr>
          <w:rFonts w:asciiTheme="minorHAnsi" w:hAnsiTheme="minorHAnsi" w:cstheme="minorHAnsi"/>
        </w:rPr>
        <w:t xml:space="preserve"> &lt; 0.01</w:t>
      </w:r>
      <w:r>
        <w:rPr>
          <w:rFonts w:asciiTheme="minorHAnsi" w:hAnsiTheme="minorHAnsi" w:cstheme="minorHAnsi"/>
        </w:rPr>
        <w:t xml:space="preserve">; </w:t>
      </w:r>
      <w:r w:rsidRPr="00605C81">
        <w:rPr>
          <w:rFonts w:asciiTheme="minorHAnsi" w:hAnsiTheme="minorHAnsi" w:cstheme="minorHAnsi"/>
        </w:rPr>
        <w:t xml:space="preserve">***, </w:t>
      </w:r>
      <w:r w:rsidRPr="00605C81">
        <w:rPr>
          <w:rFonts w:asciiTheme="minorHAnsi" w:hAnsiTheme="minorHAnsi" w:cstheme="minorHAnsi"/>
          <w:i/>
          <w:iCs/>
        </w:rPr>
        <w:t>p</w:t>
      </w:r>
      <w:r w:rsidRPr="00605C81">
        <w:rPr>
          <w:rFonts w:asciiTheme="minorHAnsi" w:hAnsiTheme="minorHAnsi" w:cstheme="minorHAnsi"/>
        </w:rPr>
        <w:t xml:space="preserve"> &lt; 0.0001</w:t>
      </w:r>
      <w:r>
        <w:rPr>
          <w:rFonts w:asciiTheme="minorHAnsi" w:hAnsiTheme="minorHAnsi" w:cstheme="minorHAnsi"/>
        </w:rPr>
        <w:t xml:space="preserve">; </w:t>
      </w:r>
      <w:r w:rsidRPr="00605C81">
        <w:rPr>
          <w:rFonts w:asciiTheme="minorHAnsi" w:hAnsiTheme="minorHAnsi" w:cstheme="minorHAnsi"/>
        </w:rPr>
        <w:t xml:space="preserve">****, </w:t>
      </w:r>
      <w:r w:rsidRPr="00605C81">
        <w:rPr>
          <w:rFonts w:asciiTheme="minorHAnsi" w:hAnsiTheme="minorHAnsi" w:cstheme="minorHAnsi"/>
          <w:i/>
          <w:iCs/>
        </w:rPr>
        <w:t>p</w:t>
      </w:r>
      <w:r w:rsidRPr="00605C81">
        <w:rPr>
          <w:rFonts w:asciiTheme="minorHAnsi" w:hAnsiTheme="minorHAnsi" w:cstheme="minorHAnsi"/>
        </w:rPr>
        <w:t xml:space="preserve"> &lt; 0.0001.</w:t>
      </w:r>
    </w:p>
    <w:p w14:paraId="1A987BAA" w14:textId="77777777" w:rsidR="00BA1210" w:rsidRPr="009458F8" w:rsidRDefault="00BA1210" w:rsidP="00BA1210">
      <w:pPr>
        <w:spacing w:line="480" w:lineRule="auto"/>
        <w:rPr>
          <w:rFonts w:asciiTheme="minorHAnsi" w:hAnsiTheme="minorHAnsi"/>
          <w:b/>
          <w:color w:val="000000" w:themeColor="text1"/>
        </w:rPr>
      </w:pPr>
    </w:p>
    <w:p w14:paraId="067DD879" w14:textId="77777777" w:rsidR="00656083" w:rsidRDefault="00656083" w:rsidP="00BA1210">
      <w:pPr>
        <w:pStyle w:val="text"/>
        <w:spacing w:line="480" w:lineRule="auto"/>
        <w:ind w:firstLine="0"/>
        <w:rPr>
          <w:rFonts w:asciiTheme="minorHAnsi" w:hAnsiTheme="minorHAnsi"/>
          <w:b/>
          <w:color w:val="000000" w:themeColor="text1"/>
        </w:rPr>
      </w:pPr>
    </w:p>
    <w:p w14:paraId="3368FF29" w14:textId="77777777" w:rsidR="00656083" w:rsidRDefault="00656083" w:rsidP="00BA1210">
      <w:pPr>
        <w:pStyle w:val="text"/>
        <w:spacing w:line="480" w:lineRule="auto"/>
        <w:ind w:firstLine="0"/>
        <w:rPr>
          <w:rFonts w:asciiTheme="minorHAnsi" w:hAnsiTheme="minorHAnsi"/>
          <w:b/>
          <w:color w:val="000000" w:themeColor="text1"/>
        </w:rPr>
      </w:pPr>
    </w:p>
    <w:p w14:paraId="628DFC76" w14:textId="77777777" w:rsidR="00656083" w:rsidRDefault="00656083" w:rsidP="00BA1210">
      <w:pPr>
        <w:pStyle w:val="text"/>
        <w:spacing w:line="480" w:lineRule="auto"/>
        <w:ind w:firstLine="0"/>
        <w:rPr>
          <w:rFonts w:asciiTheme="minorHAnsi" w:hAnsiTheme="minorHAnsi"/>
          <w:b/>
          <w:color w:val="000000" w:themeColor="text1"/>
        </w:rPr>
      </w:pPr>
    </w:p>
    <w:p w14:paraId="3A9F1FC2" w14:textId="77777777" w:rsidR="00656083" w:rsidRDefault="00656083" w:rsidP="00BA1210">
      <w:pPr>
        <w:pStyle w:val="text"/>
        <w:spacing w:line="480" w:lineRule="auto"/>
        <w:ind w:firstLine="0"/>
        <w:rPr>
          <w:rFonts w:asciiTheme="minorHAnsi" w:hAnsiTheme="minorHAnsi"/>
          <w:b/>
          <w:color w:val="000000" w:themeColor="text1"/>
        </w:rPr>
      </w:pPr>
    </w:p>
    <w:p w14:paraId="4A220547" w14:textId="77777777" w:rsidR="009731E1" w:rsidRDefault="009731E1" w:rsidP="009731E1">
      <w:pPr>
        <w:pStyle w:val="text"/>
        <w:spacing w:line="480" w:lineRule="auto"/>
        <w:ind w:firstLine="0"/>
        <w:jc w:val="center"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noProof/>
          <w:color w:val="000000" w:themeColor="text1"/>
        </w:rPr>
        <w:lastRenderedPageBreak/>
        <w:drawing>
          <wp:inline distT="0" distB="0" distL="0" distR="0" wp14:anchorId="0722AFAF" wp14:editId="20ECD680">
            <wp:extent cx="5959366" cy="6717815"/>
            <wp:effectExtent l="0" t="0" r="381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87" cy="675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CF688" w14:textId="79298D63" w:rsidR="00BA1210" w:rsidRDefault="00BA1210" w:rsidP="00BA1210">
      <w:pPr>
        <w:pStyle w:val="text"/>
        <w:spacing w:line="480" w:lineRule="auto"/>
        <w:ind w:firstLine="0"/>
        <w:rPr>
          <w:rFonts w:asciiTheme="minorHAnsi" w:hAnsiTheme="minorHAnsi" w:cstheme="minorHAnsi"/>
        </w:rPr>
      </w:pPr>
      <w:r w:rsidRPr="00605C81">
        <w:rPr>
          <w:rFonts w:asciiTheme="minorHAnsi" w:hAnsiTheme="minorHAnsi"/>
          <w:b/>
          <w:color w:val="000000" w:themeColor="text1"/>
        </w:rPr>
        <w:t xml:space="preserve">Supplemental Figure </w:t>
      </w:r>
      <w:r>
        <w:rPr>
          <w:rFonts w:asciiTheme="minorHAnsi" w:hAnsiTheme="minorHAnsi"/>
          <w:b/>
          <w:color w:val="000000" w:themeColor="text1"/>
        </w:rPr>
        <w:t>2</w:t>
      </w:r>
      <w:r w:rsidRPr="00605C81">
        <w:rPr>
          <w:rFonts w:asciiTheme="minorHAnsi" w:hAnsiTheme="minorHAnsi"/>
          <w:b/>
          <w:color w:val="000000" w:themeColor="text1"/>
        </w:rPr>
        <w:t>.</w:t>
      </w:r>
      <w:r>
        <w:rPr>
          <w:rFonts w:asciiTheme="minorHAnsi" w:hAnsiTheme="minorHAnsi"/>
          <w:b/>
          <w:color w:val="000000" w:themeColor="text1"/>
        </w:rPr>
        <w:t xml:space="preserve"> PIC and R406 exhibit different capacities to abrogate type 1 responses during infection. </w:t>
      </w:r>
      <w:r w:rsidRPr="00605C81">
        <w:rPr>
          <w:rFonts w:asciiTheme="minorHAnsi" w:hAnsiTheme="minorHAnsi"/>
          <w:b/>
          <w:color w:val="000000" w:themeColor="text1"/>
        </w:rPr>
        <w:t xml:space="preserve"> </w:t>
      </w:r>
      <w:r w:rsidRPr="00605C81">
        <w:rPr>
          <w:rFonts w:asciiTheme="minorHAnsi" w:hAnsiTheme="minorHAnsi" w:cstheme="minorHAnsi"/>
        </w:rPr>
        <w:t>Bone marrow-derived M</w:t>
      </w:r>
      <w:r w:rsidRPr="00605C81">
        <w:rPr>
          <w:rFonts w:ascii="Cambria Math" w:hAnsi="Cambria Math" w:cs="Cambria Math"/>
        </w:rPr>
        <w:t>𝚽</w:t>
      </w:r>
      <w:r w:rsidRPr="00605C81">
        <w:rPr>
          <w:rFonts w:asciiTheme="minorHAnsi" w:hAnsiTheme="minorHAnsi" w:cstheme="minorHAnsi"/>
        </w:rPr>
        <w:t xml:space="preserve"> were treated with </w:t>
      </w:r>
      <w:proofErr w:type="spellStart"/>
      <w:r w:rsidRPr="00605C81">
        <w:rPr>
          <w:rFonts w:asciiTheme="minorHAnsi" w:hAnsiTheme="minorHAnsi" w:cstheme="minorHAnsi"/>
        </w:rPr>
        <w:t>Syk</w:t>
      </w:r>
      <w:proofErr w:type="spellEnd"/>
      <w:r w:rsidRPr="00605C81">
        <w:rPr>
          <w:rFonts w:asciiTheme="minorHAnsi" w:hAnsiTheme="minorHAnsi" w:cstheme="minorHAnsi"/>
        </w:rPr>
        <w:t xml:space="preserve">-inhibitors for 30 min prior to infection with </w:t>
      </w:r>
      <w:r w:rsidRPr="00605C81">
        <w:rPr>
          <w:rFonts w:asciiTheme="minorHAnsi" w:hAnsiTheme="minorHAnsi" w:cstheme="minorHAnsi"/>
          <w:i/>
          <w:iCs/>
        </w:rPr>
        <w:t>O. tsutsugamushi</w:t>
      </w:r>
      <w:r w:rsidRPr="00605C81">
        <w:rPr>
          <w:rFonts w:asciiTheme="minorHAnsi" w:hAnsiTheme="minorHAnsi" w:cstheme="minorHAnsi"/>
        </w:rPr>
        <w:t xml:space="preserve"> (10 MOI). (A) Effect of PIC (5, 25, </w:t>
      </w:r>
      <w:r>
        <w:rPr>
          <w:rFonts w:asciiTheme="minorHAnsi" w:hAnsiTheme="minorHAnsi" w:cstheme="minorHAnsi"/>
        </w:rPr>
        <w:t xml:space="preserve">and </w:t>
      </w:r>
      <w:r w:rsidRPr="00605C81">
        <w:rPr>
          <w:rFonts w:asciiTheme="minorHAnsi" w:hAnsiTheme="minorHAnsi" w:cstheme="minorHAnsi"/>
        </w:rPr>
        <w:t>50 µM</w:t>
      </w:r>
      <w:r>
        <w:rPr>
          <w:rFonts w:asciiTheme="minorHAnsi" w:hAnsiTheme="minorHAnsi" w:cstheme="minorHAnsi"/>
        </w:rPr>
        <w:t>, respectively</w:t>
      </w:r>
      <w:r w:rsidRPr="00605C81">
        <w:rPr>
          <w:rFonts w:asciiTheme="minorHAnsi" w:hAnsiTheme="minorHAnsi" w:cstheme="minorHAnsi"/>
        </w:rPr>
        <w:t xml:space="preserve">) on target genes at 6 </w:t>
      </w:r>
      <w:proofErr w:type="spellStart"/>
      <w:r w:rsidRPr="00605C81">
        <w:rPr>
          <w:rFonts w:asciiTheme="minorHAnsi" w:hAnsiTheme="minorHAnsi" w:cstheme="minorHAnsi"/>
        </w:rPr>
        <w:t>hr</w:t>
      </w:r>
      <w:proofErr w:type="spellEnd"/>
      <w:r w:rsidRPr="00605C81">
        <w:rPr>
          <w:rFonts w:asciiTheme="minorHAnsi" w:hAnsiTheme="minorHAnsi" w:cstheme="minorHAnsi"/>
        </w:rPr>
        <w:t xml:space="preserve"> post</w:t>
      </w:r>
      <w:r>
        <w:rPr>
          <w:rFonts w:asciiTheme="minorHAnsi" w:hAnsiTheme="minorHAnsi" w:cstheme="minorHAnsi"/>
        </w:rPr>
        <w:t>-</w:t>
      </w:r>
      <w:r w:rsidRPr="00605C81">
        <w:rPr>
          <w:rFonts w:asciiTheme="minorHAnsi" w:hAnsiTheme="minorHAnsi" w:cstheme="minorHAnsi"/>
        </w:rPr>
        <w:t>infection. (B)</w:t>
      </w:r>
      <w:r w:rsidRPr="00605C81">
        <w:rPr>
          <w:rFonts w:asciiTheme="minorHAnsi" w:hAnsiTheme="minorHAnsi" w:cstheme="minorHAnsi"/>
          <w:b/>
          <w:bCs/>
        </w:rPr>
        <w:t xml:space="preserve"> </w:t>
      </w:r>
      <w:r w:rsidRPr="00605C81">
        <w:rPr>
          <w:rFonts w:asciiTheme="minorHAnsi" w:hAnsiTheme="minorHAnsi" w:cstheme="minorHAnsi"/>
        </w:rPr>
        <w:t xml:space="preserve">Effect of R406 (0.5, 2.5, 5.0 µM) on target genes at 6 </w:t>
      </w:r>
      <w:proofErr w:type="spellStart"/>
      <w:r w:rsidRPr="00605C81">
        <w:rPr>
          <w:rFonts w:asciiTheme="minorHAnsi" w:hAnsiTheme="minorHAnsi" w:cstheme="minorHAnsi"/>
        </w:rPr>
        <w:t>hr</w:t>
      </w:r>
      <w:proofErr w:type="spellEnd"/>
      <w:r w:rsidRPr="00605C81">
        <w:rPr>
          <w:rFonts w:asciiTheme="minorHAnsi" w:hAnsiTheme="minorHAnsi" w:cstheme="minorHAnsi"/>
        </w:rPr>
        <w:t xml:space="preserve"> </w:t>
      </w:r>
      <w:r w:rsidRPr="00605C81">
        <w:rPr>
          <w:rFonts w:asciiTheme="minorHAnsi" w:hAnsiTheme="minorHAnsi" w:cstheme="minorHAnsi"/>
        </w:rPr>
        <w:lastRenderedPageBreak/>
        <w:t>post</w:t>
      </w:r>
      <w:r>
        <w:rPr>
          <w:rFonts w:asciiTheme="minorHAnsi" w:hAnsiTheme="minorHAnsi" w:cstheme="minorHAnsi"/>
        </w:rPr>
        <w:t>-</w:t>
      </w:r>
      <w:r w:rsidRPr="00605C81">
        <w:rPr>
          <w:rFonts w:asciiTheme="minorHAnsi" w:hAnsiTheme="minorHAnsi" w:cstheme="minorHAnsi"/>
        </w:rPr>
        <w:t xml:space="preserve">infection. </w:t>
      </w:r>
      <w:proofErr w:type="spellStart"/>
      <w:r w:rsidRPr="00605C81">
        <w:rPr>
          <w:rFonts w:asciiTheme="minorHAnsi" w:hAnsiTheme="minorHAnsi" w:cstheme="minorHAnsi"/>
        </w:rPr>
        <w:t>qRT</w:t>
      </w:r>
      <w:proofErr w:type="spellEnd"/>
      <w:r w:rsidRPr="00605C81">
        <w:rPr>
          <w:rFonts w:asciiTheme="minorHAnsi" w:hAnsiTheme="minorHAnsi" w:cstheme="minorHAnsi"/>
        </w:rPr>
        <w:t xml:space="preserve">-PCR analyses of target genes relative to GAPDH are shown as mean ± SEM. One-way ANOVA with Dunnett’s multiple comparison test was performed across all treatment groups. For groups in comparison to </w:t>
      </w:r>
      <w:r w:rsidRPr="00C56DF3">
        <w:rPr>
          <w:rFonts w:asciiTheme="minorHAnsi" w:hAnsiTheme="minorHAnsi" w:cstheme="minorHAnsi"/>
        </w:rPr>
        <w:t>mock controls</w:t>
      </w:r>
      <w:r w:rsidRPr="00605C81">
        <w:rPr>
          <w:rFonts w:asciiTheme="minorHAnsi" w:hAnsiTheme="minorHAnsi" w:cstheme="minorHAnsi"/>
        </w:rPr>
        <w:t xml:space="preserve">: ****, </w:t>
      </w:r>
      <w:r w:rsidRPr="00605C81">
        <w:rPr>
          <w:rFonts w:asciiTheme="minorHAnsi" w:hAnsiTheme="minorHAnsi" w:cstheme="minorHAnsi"/>
          <w:i/>
          <w:iCs/>
        </w:rPr>
        <w:t>p</w:t>
      </w:r>
      <w:r w:rsidRPr="00605C81">
        <w:rPr>
          <w:rFonts w:asciiTheme="minorHAnsi" w:hAnsiTheme="minorHAnsi" w:cstheme="minorHAnsi"/>
        </w:rPr>
        <w:t xml:space="preserve"> &lt; 0.0001. For infected-and-treated groups in comparison to infected-but-untreated samples: ####, </w:t>
      </w:r>
      <w:r w:rsidRPr="00605C81">
        <w:rPr>
          <w:rFonts w:asciiTheme="minorHAnsi" w:hAnsiTheme="minorHAnsi" w:cstheme="minorHAnsi"/>
          <w:i/>
          <w:iCs/>
        </w:rPr>
        <w:t>p</w:t>
      </w:r>
      <w:r w:rsidRPr="00605C81">
        <w:rPr>
          <w:rFonts w:asciiTheme="minorHAnsi" w:hAnsiTheme="minorHAnsi" w:cstheme="minorHAnsi"/>
        </w:rPr>
        <w:t xml:space="preserve"> &lt; 0.0001.</w:t>
      </w:r>
    </w:p>
    <w:p w14:paraId="485284D5" w14:textId="5161FBAA" w:rsidR="009E37A4" w:rsidRDefault="009E37A4"/>
    <w:p w14:paraId="2AEC6A41" w14:textId="394890D7" w:rsidR="001F778F" w:rsidRPr="004C79EC" w:rsidRDefault="001F778F" w:rsidP="001F778F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        </w:t>
      </w:r>
    </w:p>
    <w:p w14:paraId="6A447D1A" w14:textId="77777777" w:rsidR="001F778F" w:rsidRDefault="001F778F" w:rsidP="001F778F">
      <w:pPr>
        <w:pStyle w:val="text"/>
        <w:spacing w:line="480" w:lineRule="auto"/>
        <w:ind w:firstLine="0"/>
      </w:pPr>
    </w:p>
    <w:p w14:paraId="60802C7B" w14:textId="652879DB" w:rsidR="001F778F" w:rsidRDefault="001F778F" w:rsidP="001F778F">
      <w:pPr>
        <w:pStyle w:val="text"/>
        <w:spacing w:line="480" w:lineRule="auto"/>
        <w:ind w:firstLine="0"/>
      </w:pPr>
    </w:p>
    <w:p w14:paraId="303742F3" w14:textId="77777777" w:rsidR="001F778F" w:rsidRDefault="001F778F" w:rsidP="001F778F">
      <w:pPr>
        <w:pStyle w:val="text"/>
        <w:spacing w:line="480" w:lineRule="auto"/>
        <w:ind w:firstLine="0"/>
      </w:pPr>
    </w:p>
    <w:p w14:paraId="53103D11" w14:textId="77777777" w:rsidR="001F778F" w:rsidRDefault="001F778F" w:rsidP="001F778F">
      <w:pPr>
        <w:pStyle w:val="text"/>
        <w:spacing w:line="480" w:lineRule="auto"/>
        <w:ind w:firstLine="0"/>
      </w:pPr>
    </w:p>
    <w:p w14:paraId="31039862" w14:textId="77777777" w:rsidR="001F778F" w:rsidRDefault="001F778F" w:rsidP="001F778F">
      <w:pPr>
        <w:pStyle w:val="text"/>
        <w:spacing w:line="480" w:lineRule="auto"/>
        <w:ind w:firstLine="0"/>
      </w:pPr>
    </w:p>
    <w:p w14:paraId="71F9ADF5" w14:textId="77777777" w:rsidR="001F778F" w:rsidRDefault="001F778F" w:rsidP="001F778F">
      <w:pPr>
        <w:pStyle w:val="text"/>
        <w:spacing w:line="480" w:lineRule="auto"/>
        <w:ind w:firstLine="0"/>
      </w:pPr>
    </w:p>
    <w:tbl>
      <w:tblPr>
        <w:tblStyle w:val="TableGrid"/>
        <w:tblpPr w:leftFromText="180" w:rightFromText="180" w:vertAnchor="page" w:horzAnchor="margin" w:tblpY="3328"/>
        <w:tblW w:w="0" w:type="auto"/>
        <w:tblLook w:val="04A0" w:firstRow="1" w:lastRow="0" w:firstColumn="1" w:lastColumn="0" w:noHBand="0" w:noVBand="1"/>
      </w:tblPr>
      <w:tblGrid>
        <w:gridCol w:w="1808"/>
        <w:gridCol w:w="3401"/>
        <w:gridCol w:w="3245"/>
      </w:tblGrid>
      <w:tr w:rsidR="009731E1" w:rsidRPr="004C79EC" w14:paraId="11D6E29A" w14:textId="77777777" w:rsidTr="009731E1">
        <w:trPr>
          <w:trHeight w:val="20"/>
        </w:trPr>
        <w:tc>
          <w:tcPr>
            <w:tcW w:w="0" w:type="auto"/>
            <w:vAlign w:val="center"/>
          </w:tcPr>
          <w:p w14:paraId="3ED23645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</w:rPr>
              <w:lastRenderedPageBreak/>
              <w:t>Gene Target</w:t>
            </w:r>
          </w:p>
        </w:tc>
        <w:tc>
          <w:tcPr>
            <w:tcW w:w="0" w:type="auto"/>
            <w:vAlign w:val="center"/>
          </w:tcPr>
          <w:p w14:paraId="2178D8CC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</w:rPr>
              <w:t>Forward 5’-3’</w:t>
            </w:r>
          </w:p>
        </w:tc>
        <w:tc>
          <w:tcPr>
            <w:tcW w:w="0" w:type="auto"/>
            <w:vAlign w:val="center"/>
          </w:tcPr>
          <w:p w14:paraId="3421DAE2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</w:rPr>
              <w:t xml:space="preserve">Reverse 5’-3’ </w:t>
            </w:r>
          </w:p>
        </w:tc>
      </w:tr>
      <w:tr w:rsidR="009731E1" w:rsidRPr="004C79EC" w14:paraId="6DF9B129" w14:textId="77777777" w:rsidTr="009731E1">
        <w:trPr>
          <w:trHeight w:val="20"/>
        </w:trPr>
        <w:tc>
          <w:tcPr>
            <w:tcW w:w="0" w:type="auto"/>
            <w:vAlign w:val="center"/>
          </w:tcPr>
          <w:p w14:paraId="7BBFE0E5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Clec4e</w:t>
            </w:r>
            <w:r w:rsidRPr="004C79EC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4C79EC">
              <w:rPr>
                <w:rFonts w:asciiTheme="minorHAnsi" w:hAnsiTheme="minorHAnsi" w:cstheme="minorHAnsi"/>
              </w:rPr>
              <w:t>Mincle</w:t>
            </w:r>
            <w:proofErr w:type="spellEnd"/>
            <w:r w:rsidRPr="004C79E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</w:tcPr>
          <w:p w14:paraId="0B239ED1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AGTGCTCTCCTGGACGATAG</w:t>
            </w:r>
          </w:p>
        </w:tc>
        <w:tc>
          <w:tcPr>
            <w:tcW w:w="0" w:type="auto"/>
            <w:vAlign w:val="center"/>
          </w:tcPr>
          <w:p w14:paraId="70906182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CCTGATGCCTCACTGTAGCAG</w:t>
            </w:r>
          </w:p>
        </w:tc>
      </w:tr>
      <w:tr w:rsidR="009731E1" w:rsidRPr="004C79EC" w14:paraId="69159201" w14:textId="77777777" w:rsidTr="009731E1">
        <w:trPr>
          <w:trHeight w:val="20"/>
        </w:trPr>
        <w:tc>
          <w:tcPr>
            <w:tcW w:w="0" w:type="auto"/>
            <w:vAlign w:val="center"/>
          </w:tcPr>
          <w:p w14:paraId="1F0E5254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Clec5a</w:t>
            </w:r>
            <w:r w:rsidRPr="004C79EC">
              <w:rPr>
                <w:rFonts w:asciiTheme="minorHAnsi" w:hAnsiTheme="minorHAnsi" w:cstheme="minorHAnsi"/>
              </w:rPr>
              <w:t xml:space="preserve"> (MDL-1)</w:t>
            </w:r>
          </w:p>
        </w:tc>
        <w:tc>
          <w:tcPr>
            <w:tcW w:w="0" w:type="auto"/>
            <w:vAlign w:val="center"/>
          </w:tcPr>
          <w:p w14:paraId="037931AB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TCGGGGCTTATCGTAGTAGTG</w:t>
            </w:r>
          </w:p>
        </w:tc>
        <w:tc>
          <w:tcPr>
            <w:tcW w:w="0" w:type="auto"/>
            <w:vAlign w:val="center"/>
          </w:tcPr>
          <w:p w14:paraId="5B7315BB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TGTAGGCATGGTACTTTCGTCAT</w:t>
            </w:r>
          </w:p>
        </w:tc>
      </w:tr>
      <w:tr w:rsidR="009731E1" w:rsidRPr="004C79EC" w14:paraId="11F67917" w14:textId="77777777" w:rsidTr="009731E1">
        <w:trPr>
          <w:trHeight w:val="20"/>
        </w:trPr>
        <w:tc>
          <w:tcPr>
            <w:tcW w:w="0" w:type="auto"/>
            <w:vAlign w:val="center"/>
          </w:tcPr>
          <w:p w14:paraId="7B8F1FDA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Clec6a</w:t>
            </w:r>
            <w:r w:rsidRPr="004C79EC">
              <w:rPr>
                <w:rFonts w:asciiTheme="minorHAnsi" w:hAnsiTheme="minorHAnsi" w:cstheme="minorHAnsi"/>
              </w:rPr>
              <w:t xml:space="preserve"> (Dectin1)</w:t>
            </w:r>
          </w:p>
        </w:tc>
        <w:tc>
          <w:tcPr>
            <w:tcW w:w="0" w:type="auto"/>
            <w:vAlign w:val="center"/>
          </w:tcPr>
          <w:p w14:paraId="3CC5F930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AAGCGGAGCAGAATTTCATCA</w:t>
            </w:r>
          </w:p>
        </w:tc>
        <w:tc>
          <w:tcPr>
            <w:tcW w:w="0" w:type="auto"/>
            <w:vAlign w:val="center"/>
          </w:tcPr>
          <w:p w14:paraId="11F57E2F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CCATTTGCCATTACCTTGTGGA</w:t>
            </w:r>
          </w:p>
        </w:tc>
      </w:tr>
      <w:tr w:rsidR="009731E1" w:rsidRPr="004C79EC" w14:paraId="13EA895C" w14:textId="77777777" w:rsidTr="009731E1">
        <w:trPr>
          <w:trHeight w:val="20"/>
        </w:trPr>
        <w:tc>
          <w:tcPr>
            <w:tcW w:w="0" w:type="auto"/>
            <w:vAlign w:val="center"/>
          </w:tcPr>
          <w:p w14:paraId="37901AAF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Clec12a</w:t>
            </w:r>
          </w:p>
        </w:tc>
        <w:tc>
          <w:tcPr>
            <w:tcW w:w="0" w:type="auto"/>
            <w:vAlign w:val="center"/>
          </w:tcPr>
          <w:p w14:paraId="2E5C6F50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AGAAGTCTGACAAATGTGGGGG</w:t>
            </w:r>
          </w:p>
        </w:tc>
        <w:tc>
          <w:tcPr>
            <w:tcW w:w="0" w:type="auto"/>
            <w:vAlign w:val="center"/>
          </w:tcPr>
          <w:p w14:paraId="2B270B55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CCAATGAACAGCAGAAGGCATA</w:t>
            </w:r>
          </w:p>
        </w:tc>
      </w:tr>
      <w:tr w:rsidR="009731E1" w:rsidRPr="004C79EC" w14:paraId="526AC208" w14:textId="77777777" w:rsidTr="009731E1">
        <w:trPr>
          <w:trHeight w:val="20"/>
        </w:trPr>
        <w:tc>
          <w:tcPr>
            <w:tcW w:w="0" w:type="auto"/>
            <w:vAlign w:val="center"/>
          </w:tcPr>
          <w:p w14:paraId="27A43ADB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Il12p40</w:t>
            </w:r>
          </w:p>
        </w:tc>
        <w:tc>
          <w:tcPr>
            <w:tcW w:w="0" w:type="auto"/>
            <w:vAlign w:val="center"/>
          </w:tcPr>
          <w:p w14:paraId="6272B262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GGAAGCACGGCAGCAGAATAA</w:t>
            </w:r>
          </w:p>
        </w:tc>
        <w:tc>
          <w:tcPr>
            <w:tcW w:w="0" w:type="auto"/>
            <w:vAlign w:val="center"/>
          </w:tcPr>
          <w:p w14:paraId="653236BC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CTTGAGGGAGAAGTAGGAATG</w:t>
            </w:r>
          </w:p>
        </w:tc>
      </w:tr>
      <w:tr w:rsidR="009731E1" w:rsidRPr="004C79EC" w14:paraId="03FE1081" w14:textId="77777777" w:rsidTr="009731E1">
        <w:trPr>
          <w:trHeight w:val="20"/>
        </w:trPr>
        <w:tc>
          <w:tcPr>
            <w:tcW w:w="0" w:type="auto"/>
            <w:vAlign w:val="center"/>
          </w:tcPr>
          <w:p w14:paraId="64A290C9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Il27p28</w:t>
            </w:r>
          </w:p>
        </w:tc>
        <w:tc>
          <w:tcPr>
            <w:tcW w:w="0" w:type="auto"/>
            <w:vAlign w:val="center"/>
          </w:tcPr>
          <w:p w14:paraId="4B994DBA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CTGTTGCTGCTACCCTTGCTT</w:t>
            </w:r>
          </w:p>
        </w:tc>
        <w:tc>
          <w:tcPr>
            <w:tcW w:w="0" w:type="auto"/>
            <w:vAlign w:val="center"/>
          </w:tcPr>
          <w:p w14:paraId="5347C930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CACTCCTGGCAATCGAGATTC</w:t>
            </w:r>
          </w:p>
        </w:tc>
      </w:tr>
      <w:tr w:rsidR="009731E1" w:rsidRPr="004C79EC" w14:paraId="038EAFC6" w14:textId="77777777" w:rsidTr="009731E1">
        <w:trPr>
          <w:trHeight w:val="20"/>
        </w:trPr>
        <w:tc>
          <w:tcPr>
            <w:tcW w:w="0" w:type="auto"/>
            <w:vAlign w:val="center"/>
          </w:tcPr>
          <w:p w14:paraId="44CBE514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proofErr w:type="spellStart"/>
            <w:r w:rsidRPr="004C79EC">
              <w:rPr>
                <w:rFonts w:asciiTheme="minorHAnsi" w:hAnsiTheme="minorHAnsi" w:cstheme="minorHAnsi"/>
                <w:i/>
              </w:rPr>
              <w:t>MerTK</w:t>
            </w:r>
            <w:proofErr w:type="spellEnd"/>
          </w:p>
        </w:tc>
        <w:tc>
          <w:tcPr>
            <w:tcW w:w="0" w:type="auto"/>
            <w:vAlign w:val="center"/>
          </w:tcPr>
          <w:p w14:paraId="5D1FFD4A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CAGGGCCTTTACCAGGGAGA</w:t>
            </w:r>
          </w:p>
        </w:tc>
        <w:tc>
          <w:tcPr>
            <w:tcW w:w="0" w:type="auto"/>
            <w:vAlign w:val="center"/>
          </w:tcPr>
          <w:p w14:paraId="2F44F599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TGTGTGCTGGATGTGATCTTC</w:t>
            </w:r>
          </w:p>
        </w:tc>
      </w:tr>
      <w:tr w:rsidR="009731E1" w:rsidRPr="004C79EC" w14:paraId="59549A8B" w14:textId="77777777" w:rsidTr="009731E1">
        <w:trPr>
          <w:trHeight w:val="20"/>
        </w:trPr>
        <w:tc>
          <w:tcPr>
            <w:tcW w:w="0" w:type="auto"/>
            <w:vAlign w:val="center"/>
          </w:tcPr>
          <w:p w14:paraId="13F9F375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 w:cstheme="minorHAnsi"/>
                <w:i/>
              </w:rPr>
              <w:t>Mx1</w:t>
            </w:r>
          </w:p>
        </w:tc>
        <w:tc>
          <w:tcPr>
            <w:tcW w:w="0" w:type="auto"/>
            <w:vAlign w:val="center"/>
          </w:tcPr>
          <w:p w14:paraId="76FD8FA4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GACCATAGGGGTCTTGACCAA</w:t>
            </w:r>
          </w:p>
        </w:tc>
        <w:tc>
          <w:tcPr>
            <w:tcW w:w="0" w:type="auto"/>
            <w:vAlign w:val="center"/>
          </w:tcPr>
          <w:p w14:paraId="787C72FF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AGACTTGCTCTTTCTGAAAAGCC</w:t>
            </w:r>
          </w:p>
        </w:tc>
      </w:tr>
      <w:tr w:rsidR="009731E1" w:rsidRPr="004C79EC" w14:paraId="2007C482" w14:textId="77777777" w:rsidTr="009731E1">
        <w:trPr>
          <w:trHeight w:val="20"/>
        </w:trPr>
        <w:tc>
          <w:tcPr>
            <w:tcW w:w="0" w:type="auto"/>
            <w:vAlign w:val="center"/>
          </w:tcPr>
          <w:p w14:paraId="1DB9B4B8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i/>
              </w:rPr>
            </w:pPr>
            <w:r w:rsidRPr="004C79EC">
              <w:rPr>
                <w:rFonts w:asciiTheme="minorHAnsi" w:hAnsiTheme="minorHAnsi"/>
                <w:i/>
              </w:rPr>
              <w:t>Oas1b</w:t>
            </w:r>
          </w:p>
        </w:tc>
        <w:tc>
          <w:tcPr>
            <w:tcW w:w="0" w:type="auto"/>
            <w:vAlign w:val="center"/>
          </w:tcPr>
          <w:p w14:paraId="7856B1BC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/>
                <w:color w:val="000000"/>
                <w:shd w:val="clear" w:color="auto" w:fill="FFFFFF"/>
              </w:rPr>
              <w:t>GGGCCTCTAAAGGGGTCAAG</w:t>
            </w:r>
          </w:p>
        </w:tc>
        <w:tc>
          <w:tcPr>
            <w:tcW w:w="0" w:type="auto"/>
            <w:vAlign w:val="center"/>
          </w:tcPr>
          <w:p w14:paraId="30ED70A9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/>
                <w:color w:val="000000"/>
                <w:shd w:val="clear" w:color="auto" w:fill="FFFFFF"/>
              </w:rPr>
              <w:t>TCAAACTTCACTCCACAACGTC</w:t>
            </w:r>
          </w:p>
        </w:tc>
      </w:tr>
      <w:tr w:rsidR="009731E1" w:rsidRPr="004C79EC" w14:paraId="4AED70EA" w14:textId="77777777" w:rsidTr="009731E1">
        <w:trPr>
          <w:trHeight w:val="20"/>
        </w:trPr>
        <w:tc>
          <w:tcPr>
            <w:tcW w:w="0" w:type="auto"/>
            <w:vAlign w:val="center"/>
          </w:tcPr>
          <w:p w14:paraId="650A8325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/>
                <w:i/>
              </w:rPr>
              <w:t>Oas2</w:t>
            </w:r>
          </w:p>
        </w:tc>
        <w:tc>
          <w:tcPr>
            <w:tcW w:w="0" w:type="auto"/>
            <w:vAlign w:val="center"/>
          </w:tcPr>
          <w:p w14:paraId="5F560D10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TTGAAGAGGAATACATGCGGAAG</w:t>
            </w:r>
          </w:p>
        </w:tc>
        <w:tc>
          <w:tcPr>
            <w:tcW w:w="0" w:type="auto"/>
            <w:vAlign w:val="center"/>
          </w:tcPr>
          <w:p w14:paraId="03400ADD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GGGTCTGCATTACTGGCACTT</w:t>
            </w:r>
          </w:p>
        </w:tc>
      </w:tr>
      <w:tr w:rsidR="009731E1" w:rsidRPr="004C79EC" w14:paraId="3A344A4F" w14:textId="77777777" w:rsidTr="009731E1">
        <w:trPr>
          <w:trHeight w:val="20"/>
        </w:trPr>
        <w:tc>
          <w:tcPr>
            <w:tcW w:w="0" w:type="auto"/>
            <w:vAlign w:val="center"/>
          </w:tcPr>
          <w:p w14:paraId="1211966E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/>
                <w:i/>
              </w:rPr>
              <w:t>Oas3</w:t>
            </w:r>
          </w:p>
        </w:tc>
        <w:tc>
          <w:tcPr>
            <w:tcW w:w="0" w:type="auto"/>
            <w:vAlign w:val="center"/>
          </w:tcPr>
          <w:p w14:paraId="47C4C723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TCTGGGGTCGCTAAACATCAC</w:t>
            </w:r>
          </w:p>
        </w:tc>
        <w:tc>
          <w:tcPr>
            <w:tcW w:w="0" w:type="auto"/>
            <w:vAlign w:val="center"/>
          </w:tcPr>
          <w:p w14:paraId="63186700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GATGACGAGTTCGACATCGGT</w:t>
            </w:r>
          </w:p>
        </w:tc>
      </w:tr>
      <w:tr w:rsidR="009731E1" w:rsidRPr="004C79EC" w14:paraId="3EF0842A" w14:textId="77777777" w:rsidTr="009731E1">
        <w:trPr>
          <w:trHeight w:val="20"/>
        </w:trPr>
        <w:tc>
          <w:tcPr>
            <w:tcW w:w="0" w:type="auto"/>
            <w:vAlign w:val="center"/>
          </w:tcPr>
          <w:p w14:paraId="03139457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proofErr w:type="spellStart"/>
            <w:r w:rsidRPr="004C79EC">
              <w:rPr>
                <w:rFonts w:asciiTheme="minorHAnsi" w:hAnsiTheme="minorHAnsi" w:cstheme="minorHAnsi"/>
                <w:i/>
              </w:rPr>
              <w:t>Tnf</w:t>
            </w:r>
            <w:proofErr w:type="spellEnd"/>
          </w:p>
        </w:tc>
        <w:tc>
          <w:tcPr>
            <w:tcW w:w="0" w:type="auto"/>
            <w:vAlign w:val="center"/>
          </w:tcPr>
          <w:p w14:paraId="212E86B4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CCCTCACACTCAGATCATCTTCT</w:t>
            </w:r>
          </w:p>
        </w:tc>
        <w:tc>
          <w:tcPr>
            <w:tcW w:w="0" w:type="auto"/>
            <w:vAlign w:val="center"/>
          </w:tcPr>
          <w:p w14:paraId="10F26A9B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GCTACGACGTGGGCTACAG</w:t>
            </w:r>
          </w:p>
        </w:tc>
      </w:tr>
      <w:tr w:rsidR="009731E1" w:rsidRPr="004C79EC" w14:paraId="001E452B" w14:textId="77777777" w:rsidTr="009731E1">
        <w:trPr>
          <w:trHeight w:val="20"/>
        </w:trPr>
        <w:tc>
          <w:tcPr>
            <w:tcW w:w="0" w:type="auto"/>
            <w:vAlign w:val="center"/>
          </w:tcPr>
          <w:p w14:paraId="2C0B2084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GAPDH</w:t>
            </w:r>
          </w:p>
        </w:tc>
        <w:tc>
          <w:tcPr>
            <w:tcW w:w="0" w:type="auto"/>
            <w:vAlign w:val="center"/>
          </w:tcPr>
          <w:p w14:paraId="41EB38F3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TGGAAAGCTGTGGCGTGAT</w:t>
            </w:r>
          </w:p>
        </w:tc>
        <w:tc>
          <w:tcPr>
            <w:tcW w:w="0" w:type="auto"/>
            <w:vAlign w:val="center"/>
          </w:tcPr>
          <w:p w14:paraId="77F4A9AD" w14:textId="77777777" w:rsidR="009731E1" w:rsidRPr="004C79EC" w:rsidRDefault="009731E1" w:rsidP="009731E1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C79EC">
              <w:rPr>
                <w:rFonts w:asciiTheme="minorHAnsi" w:hAnsiTheme="minorHAnsi" w:cstheme="minorHAnsi"/>
                <w:color w:val="000000"/>
              </w:rPr>
              <w:t>TGCTTCACCACCTTCTTGAT</w:t>
            </w:r>
          </w:p>
        </w:tc>
      </w:tr>
    </w:tbl>
    <w:p w14:paraId="12937F5A" w14:textId="77777777" w:rsidR="001F778F" w:rsidRDefault="001F778F" w:rsidP="001F778F">
      <w:pPr>
        <w:pStyle w:val="text"/>
        <w:spacing w:line="480" w:lineRule="auto"/>
        <w:ind w:firstLine="0"/>
      </w:pPr>
    </w:p>
    <w:p w14:paraId="6640C582" w14:textId="77777777" w:rsidR="009731E1" w:rsidRPr="00AB3FA9" w:rsidRDefault="009731E1" w:rsidP="009731E1">
      <w:pPr>
        <w:pStyle w:val="text"/>
        <w:spacing w:line="480" w:lineRule="auto"/>
        <w:ind w:firstLine="0"/>
        <w:rPr>
          <w:lang w:val="en-GB"/>
        </w:rPr>
      </w:pPr>
      <w:r w:rsidRPr="004C79EC">
        <w:rPr>
          <w:rFonts w:asciiTheme="minorHAnsi" w:hAnsiTheme="minorHAnsi"/>
          <w:b/>
        </w:rPr>
        <w:t>Supplemental Table 1.</w:t>
      </w:r>
      <w:r w:rsidRPr="004C79EC">
        <w:rPr>
          <w:rFonts w:asciiTheme="minorHAnsi" w:hAnsiTheme="minorHAnsi"/>
        </w:rPr>
        <w:t xml:space="preserve"> Primers for </w:t>
      </w:r>
      <w:proofErr w:type="spellStart"/>
      <w:r w:rsidRPr="004C79EC">
        <w:rPr>
          <w:rFonts w:asciiTheme="minorHAnsi" w:hAnsiTheme="minorHAnsi"/>
        </w:rPr>
        <w:t>qRT</w:t>
      </w:r>
      <w:proofErr w:type="spellEnd"/>
      <w:r w:rsidRPr="004C79EC">
        <w:rPr>
          <w:rFonts w:asciiTheme="minorHAnsi" w:hAnsiTheme="minorHAnsi"/>
        </w:rPr>
        <w:t>-PCR analysis</w:t>
      </w:r>
    </w:p>
    <w:p w14:paraId="3F89502D" w14:textId="77777777" w:rsidR="001F778F" w:rsidRPr="00AB3FA9" w:rsidRDefault="001F778F" w:rsidP="001F778F">
      <w:pPr>
        <w:pStyle w:val="text"/>
        <w:spacing w:line="480" w:lineRule="auto"/>
        <w:ind w:firstLine="0"/>
        <w:rPr>
          <w:lang w:val="en-GB"/>
        </w:rPr>
      </w:pPr>
    </w:p>
    <w:p w14:paraId="37008B4A" w14:textId="77777777" w:rsidR="001F778F" w:rsidRDefault="001F778F"/>
    <w:sectPr w:rsidR="001F7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EB4"/>
    <w:rsid w:val="001F778F"/>
    <w:rsid w:val="00656083"/>
    <w:rsid w:val="009731E1"/>
    <w:rsid w:val="009E37A4"/>
    <w:rsid w:val="00BA1210"/>
    <w:rsid w:val="00B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06F24"/>
  <w15:chartTrackingRefBased/>
  <w15:docId w15:val="{C39DF4C3-61A2-4FD0-8C71-D5169E24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210"/>
    <w:pPr>
      <w:spacing w:after="200" w:line="276" w:lineRule="auto"/>
    </w:pPr>
    <w:rPr>
      <w:rFonts w:ascii="Arial" w:eastAsia="Calibri" w:hAnsi="Arial" w:cs="Arial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aliases w:val="t"/>
    <w:basedOn w:val="Normal"/>
    <w:qFormat/>
    <w:rsid w:val="00BA1210"/>
    <w:pPr>
      <w:overflowPunct w:val="0"/>
      <w:autoSpaceDE w:val="0"/>
      <w:autoSpaceDN w:val="0"/>
      <w:adjustRightInd w:val="0"/>
      <w:spacing w:after="0" w:line="480" w:lineRule="atLeast"/>
      <w:ind w:firstLine="720"/>
      <w:jc w:val="both"/>
      <w:textAlignment w:val="baseline"/>
    </w:pPr>
    <w:rPr>
      <w:rFonts w:ascii="Times" w:eastAsia="Times New Roman" w:hAnsi="Times" w:cs="Times New Roman"/>
      <w:szCs w:val="20"/>
      <w:lang w:val="en-US" w:eastAsia="en-US"/>
    </w:rPr>
  </w:style>
  <w:style w:type="table" w:styleId="TableGrid">
    <w:name w:val="Table Grid"/>
    <w:basedOn w:val="TableNormal"/>
    <w:uiPriority w:val="39"/>
    <w:rsid w:val="001F778F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294</Words>
  <Characters>1682</Characters>
  <Application>Microsoft Office Word</Application>
  <DocSecurity>0</DocSecurity>
  <Lines>14</Lines>
  <Paragraphs>3</Paragraphs>
  <ScaleCrop>false</ScaleCrop>
  <Company>University of Texas Medical Branch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Liang, Yuejin</dc:creator>
  <cp:keywords/>
  <dc:description/>
  <cp:lastModifiedBy>Liang, Yuejin</cp:lastModifiedBy>
  <cp:revision>5</cp:revision>
  <dcterms:created xsi:type="dcterms:W3CDTF">2022-11-15T02:42:00Z</dcterms:created>
  <dcterms:modified xsi:type="dcterms:W3CDTF">2022-11-15T02:45:00Z</dcterms:modified>
</cp:coreProperties>
</file>